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205009</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ascii="Arial" w:hAnsi="Arial" w:cs="Arial"/>
          <w:b/>
          <w:bCs/>
          <w:sz w:val="24"/>
          <w:szCs w:val="24"/>
        </w:rPr>
        <w:t>21</w:t>
      </w:r>
      <w:r>
        <w:rPr>
          <w:rFonts w:hint="eastAsia" w:ascii="Arial" w:hAnsi="Arial" w:eastAsia="宋体" w:cs="Arial"/>
          <w:b/>
          <w:bCs/>
          <w:sz w:val="24"/>
          <w:szCs w:val="24"/>
          <w:lang w:val="en-US" w:eastAsia="zh-CN"/>
        </w:rPr>
        <w:t xml:space="preserve"> </w:t>
      </w:r>
      <w:r>
        <w:rPr>
          <w:rFonts w:ascii="Arial" w:hAnsi="Arial" w:cs="Arial"/>
          <w:b/>
          <w:bCs/>
          <w:sz w:val="24"/>
          <w:szCs w:val="24"/>
        </w:rPr>
        <w:t>Feb–03 Mar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Signalling characteristics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10.9.3.4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eastAsiaTheme="minorEastAsia"/>
                <w:b/>
                <w:u w:val="single"/>
                <w:lang w:val="sv-SE" w:eastAsia="zh-CN"/>
              </w:rPr>
            </w:pPr>
            <w:r>
              <w:rPr>
                <w:rFonts w:eastAsiaTheme="minorEastAsia"/>
                <w:b/>
                <w:u w:val="single"/>
                <w:lang w:val="sv-SE" w:eastAsia="zh-CN"/>
              </w:rPr>
              <w:t xml:space="preserve">RLM/BFD evaluation period </w:t>
            </w:r>
          </w:p>
          <w:p>
            <w:pPr>
              <w:keepNext w:val="0"/>
              <w:keepLines w:val="0"/>
              <w:pageBreakBefore w:val="0"/>
              <w:numPr>
                <w:ilvl w:val="0"/>
                <w:numId w:val="4"/>
              </w:numPr>
              <w:kinsoku/>
              <w:wordWrap/>
              <w:overflowPunct/>
              <w:topLinePunct w:val="0"/>
              <w:autoSpaceDE/>
              <w:autoSpaceDN/>
              <w:bidi w:val="0"/>
              <w:adjustRightInd/>
              <w:snapToGrid/>
              <w:ind w:left="420" w:leftChars="0" w:hanging="420" w:firstLineChars="0"/>
              <w:textAlignment w:val="auto"/>
              <w:rPr>
                <w:rFonts w:eastAsiaTheme="minorEastAsia"/>
                <w:iCs/>
                <w:lang w:val="en-US" w:eastAsia="zh-CN"/>
              </w:rPr>
            </w:pPr>
            <w:r>
              <w:rPr>
                <w:rFonts w:eastAsiaTheme="minorEastAsia"/>
                <w:iCs/>
                <w:lang w:val="en-US" w:eastAsia="zh-CN"/>
              </w:rPr>
              <w:t>Define scaling factor N for no DRX and DRX cycle &lt;=80 ms by following the number of RX beams per UE for Set 1 and Set 2: Set 1: 2 RX beams; (2) Set 2: 6 RX beams.</w:t>
            </w:r>
          </w:p>
          <w:p>
            <w:pPr>
              <w:keepNext w:val="0"/>
              <w:keepLines w:val="0"/>
              <w:pageBreakBefore w:val="0"/>
              <w:kinsoku/>
              <w:wordWrap/>
              <w:overflowPunct/>
              <w:topLinePunct w:val="0"/>
              <w:autoSpaceDE/>
              <w:autoSpaceDN/>
              <w:bidi w:val="0"/>
              <w:adjustRightInd/>
              <w:snapToGrid/>
              <w:textAlignment w:val="auto"/>
              <w:rPr>
                <w:rFonts w:eastAsiaTheme="minorEastAsia"/>
                <w:b/>
                <w:u w:val="single"/>
                <w:lang w:val="sv-SE" w:eastAsia="zh-CN"/>
              </w:rPr>
            </w:pPr>
            <w:r>
              <w:rPr>
                <w:rFonts w:eastAsiaTheme="minorEastAsia"/>
                <w:b/>
                <w:u w:val="single"/>
                <w:lang w:val="sv-SE" w:eastAsia="zh-CN"/>
              </w:rPr>
              <w:t>Uplink Spatial Relation Switch Delay</w:t>
            </w:r>
          </w:p>
          <w:p>
            <w:pPr>
              <w:pStyle w:val="27"/>
              <w:keepNext w:val="0"/>
              <w:keepLines w:val="0"/>
              <w:pageBreakBefore w:val="0"/>
              <w:numPr>
                <w:ilvl w:val="0"/>
                <w:numId w:val="4"/>
              </w:numPr>
              <w:kinsoku/>
              <w:wordWrap/>
              <w:overflowPunct/>
              <w:topLinePunct w:val="0"/>
              <w:autoSpaceDE/>
              <w:autoSpaceDN/>
              <w:bidi w:val="0"/>
              <w:adjustRightInd/>
              <w:snapToGrid/>
              <w:ind w:left="420" w:leftChars="0" w:hanging="420" w:firstLineChars="0"/>
              <w:textAlignment w:val="auto"/>
              <w:rPr>
                <w:rFonts w:hint="default" w:ascii="Times New Roman" w:hAnsi="Times New Roman" w:eastAsia="宋体" w:cs="Times New Roman"/>
                <w:color w:val="auto"/>
                <w:kern w:val="0"/>
                <w:sz w:val="20"/>
                <w:szCs w:val="20"/>
                <w:lang w:val="en-US" w:eastAsia="zh-CN" w:bidi="ar-SA"/>
              </w:rPr>
            </w:pPr>
            <w:r>
              <w:rPr>
                <w:rFonts w:ascii="Times New Roman" w:hAnsi="Times New Roman" w:cs="Times New Roman" w:eastAsiaTheme="minorEastAsia"/>
                <w:iCs/>
                <w:kern w:val="0"/>
                <w:sz w:val="20"/>
                <w:szCs w:val="24"/>
                <w:lang w:val="en-US" w:eastAsia="zh-CN" w:bidi="ar-SA"/>
              </w:rPr>
              <w:t>For the known conditions for spatial relation when associated with DL-RS, the requirement defined in Rel-16 shall be reused, and no standard impact is expected for Rel-17 FR2 HST.</w:t>
            </w:r>
          </w:p>
        </w:tc>
      </w:tr>
    </w:tbl>
    <w:p>
      <w:pPr>
        <w:widowControl w:val="0"/>
        <w:numPr>
          <w:ilvl w:val="0"/>
          <w:numId w:val="0"/>
        </w:numPr>
        <w:jc w:val="both"/>
        <w:rPr>
          <w:rFonts w:hint="eastAsia" w:eastAsia="宋体"/>
          <w:kern w:val="2"/>
          <w:sz w:val="20"/>
          <w:szCs w:val="20"/>
          <w:lang w:val="en-US" w:eastAsia="zh-CN"/>
        </w:rPr>
      </w:pPr>
      <w:r>
        <w:rPr>
          <w:rFonts w:hint="eastAsia" w:eastAsia="宋体"/>
          <w:color w:val="auto"/>
          <w:sz w:val="20"/>
          <w:szCs w:val="20"/>
          <w:lang w:val="en-US" w:eastAsia="zh-CN"/>
        </w:rPr>
        <w:t>Based on the conclusion in 101bis meeting, f</w:t>
      </w:r>
      <w:r>
        <w:rPr>
          <w:rFonts w:hint="eastAsia" w:eastAsia="宋体"/>
          <w:kern w:val="2"/>
          <w:sz w:val="20"/>
          <w:szCs w:val="20"/>
          <w:lang w:val="en-US" w:eastAsia="zh-CN"/>
        </w:rPr>
        <w:t>or signalling characteristics, only one issue is still open, we provide our analysis for this issue:</w:t>
      </w:r>
    </w:p>
    <w:p>
      <w:pPr>
        <w:pStyle w:val="15"/>
        <w:keepNext w:val="0"/>
        <w:keepLines w:val="0"/>
        <w:pageBreakBefore w:val="0"/>
        <w:widowControl/>
        <w:numPr>
          <w:ilvl w:val="1"/>
          <w:numId w:val="5"/>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Inter-symbol interference during TCI switching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bookmarkStart w:id="0" w:name="OLE_LINK2"/>
      <w:r>
        <w:rPr>
          <w:rFonts w:hint="eastAsia" w:eastAsia="宋体"/>
          <w:color w:val="auto"/>
          <w:sz w:val="20"/>
          <w:szCs w:val="20"/>
          <w:highlight w:val="none"/>
          <w:lang w:val="en-US" w:eastAsia="zh-CN"/>
        </w:rPr>
        <w:t>For the issue of inter-symbol interference during TCI state switching, as analysis in [2] by Samsung, we recognize it really exists when inter-RRH TCI state switching. To specify the issue more clearly, re-using the figure in [2].</w:t>
      </w:r>
    </w:p>
    <w:bookmarkEnd w:id="0"/>
    <w:p>
      <w:pPr>
        <w:pStyle w:val="4"/>
        <w:rPr>
          <w:rFonts w:hint="eastAsia" w:eastAsia="宋体"/>
          <w:color w:val="auto"/>
          <w:sz w:val="20"/>
          <w:szCs w:val="20"/>
          <w:highlight w:val="none"/>
          <w:lang w:val="en-US" w:eastAsia="zh-CN"/>
        </w:rPr>
      </w:pPr>
      <w:r>
        <w:rPr>
          <w:rFonts w:asciiTheme="minorHAnsi" w:hAnsiTheme="minorHAnsi" w:cstheme="minorHAnsi"/>
          <w:lang w:val="en-US" w:eastAsia="zh-CN"/>
        </w:rPr>
        <w:object>
          <v:shape id="_x0000_i1025" o:spt="75" type="#_x0000_t75" style="height:201.1pt;width:466.55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r>
        <w:rPr>
          <w:rFonts w:hint="eastAsia" w:eastAsia="宋体"/>
          <w:color w:val="auto"/>
          <w:sz w:val="20"/>
          <w:szCs w:val="20"/>
          <w:highlight w:val="none"/>
          <w:lang w:val="en-US" w:eastAsia="zh-CN"/>
        </w:rPr>
        <w:t>To address the ISI between</w:t>
      </w:r>
      <w:bookmarkStart w:id="1" w:name="OLE_LINK4"/>
      <w:r>
        <w:rPr>
          <w:rFonts w:hint="eastAsia" w:eastAsia="宋体"/>
          <w:color w:val="auto"/>
          <w:sz w:val="20"/>
          <w:szCs w:val="20"/>
          <w:highlight w:val="none"/>
          <w:lang w:val="en-US" w:eastAsia="zh-CN"/>
        </w:rPr>
        <w:t xml:space="preserve"> </w:t>
      </w:r>
      <w:bookmarkEnd w:id="1"/>
      <w:r>
        <w:rPr>
          <w:rFonts w:hint="eastAsia" w:eastAsia="宋体"/>
          <w:color w:val="auto"/>
          <w:sz w:val="20"/>
          <w:szCs w:val="20"/>
          <w:highlight w:val="none"/>
          <w:lang w:val="en-US" w:eastAsia="zh-CN"/>
        </w:rPr>
        <w:t>two adjacent DL slots, we believe the method is to introduce interruption or scheduling restriction after the ending of slot</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hint="eastAsia" w:eastAsia="宋体"/>
          <w:color w:val="auto"/>
          <w:sz w:val="20"/>
          <w:szCs w:val="20"/>
          <w:highlight w:val="none"/>
          <w:lang w:val="en-US" w:eastAsia="zh-CN"/>
        </w:rPr>
        <w:t xml:space="preserve">. Considering the collision range of </w:t>
      </w:r>
      <w:r>
        <w:rPr>
          <w:rFonts w:asciiTheme="minorHAnsi" w:hAnsiTheme="minorHAnsi" w:cstheme="minorHAnsi"/>
          <w:lang w:val="sv-SE" w:eastAsia="zh-CN"/>
        </w:rPr>
        <w:t>T</w:t>
      </w:r>
      <w:r>
        <w:rPr>
          <w:rFonts w:asciiTheme="minorHAnsi" w:hAnsiTheme="minorHAnsi" w:cstheme="minorHAnsi"/>
          <w:vertAlign w:val="subscript"/>
          <w:lang w:val="sv-SE" w:eastAsia="zh-CN"/>
        </w:rPr>
        <w:t>p1</w:t>
      </w:r>
      <w:r>
        <w:rPr>
          <w:rFonts w:asciiTheme="minorHAnsi" w:hAnsiTheme="minorHAnsi" w:cstheme="minorHAnsi"/>
          <w:lang w:val="sv-SE" w:eastAsia="zh-CN"/>
        </w:rPr>
        <w:t xml:space="preserve"> - T</w:t>
      </w:r>
      <w:r>
        <w:rPr>
          <w:rFonts w:asciiTheme="minorHAnsi" w:hAnsiTheme="minorHAnsi" w:cstheme="minorHAnsi"/>
          <w:vertAlign w:val="subscript"/>
          <w:lang w:val="sv-SE" w:eastAsia="zh-CN"/>
        </w:rPr>
        <w:t>p2</w:t>
      </w:r>
      <w:r>
        <w:rPr>
          <w:rFonts w:hint="eastAsia" w:eastAsia="宋体"/>
          <w:color w:val="auto"/>
          <w:sz w:val="20"/>
          <w:szCs w:val="20"/>
          <w:highlight w:val="none"/>
          <w:lang w:val="en-US" w:eastAsia="zh-CN"/>
        </w:rPr>
        <w:t xml:space="preserve"> is possible not larger than 2.33</w:t>
      </w:r>
      <w:r>
        <w:rPr>
          <w:rFonts w:hint="default" w:ascii="Times New Roman" w:hAnsi="Times New Roman" w:eastAsia="宋体" w:cs="Times New Roman"/>
          <w:color w:val="auto"/>
          <w:sz w:val="20"/>
          <w:szCs w:val="20"/>
          <w:highlight w:val="none"/>
          <w:lang w:val="en-US" w:eastAsia="zh-CN"/>
        </w:rPr>
        <w:t>μ</w:t>
      </w:r>
      <w:r>
        <w:rPr>
          <w:rFonts w:hint="eastAsia" w:eastAsia="宋体" w:cs="Times New Roman"/>
          <w:color w:val="auto"/>
          <w:sz w:val="20"/>
          <w:szCs w:val="20"/>
          <w:highlight w:val="none"/>
          <w:lang w:val="en-US" w:eastAsia="zh-CN"/>
        </w:rPr>
        <w:t xml:space="preserve">s, which is smaller than the length of one symbol for 120kHz, so we believe only one symbol would be impacted by the ISI, maybe one symbol length scheduling restriction right after the switching point can avoid such ISI. UE is not expected to receive any PDCCH/PDSCH/SSB/CSI-RS at this restricted symbol. At same time, such method is similar as the scheduling restriction on 1 symbol before and after SSB used for RRM measurement in legacy Rel-16. </w:t>
      </w:r>
      <w:r>
        <w:rPr>
          <w:rFonts w:hint="eastAsia" w:eastAsia="宋体"/>
          <w:color w:val="auto"/>
          <w:sz w:val="20"/>
          <w:szCs w:val="20"/>
          <w:highlight w:val="none"/>
          <w:lang w:val="en-US" w:eastAsia="zh-CN"/>
        </w:rPr>
        <w:t>For the method of introduce interruption, since the unit for interruption is usually slot or ms, wasting one slot to avoid the ISI in one symbol, which is costly. So, one symbol scheduling restriction is enough to address this ISI issue.</w:t>
      </w:r>
    </w:p>
    <w:p>
      <w:pPr>
        <w:pStyle w:val="4"/>
        <w:rPr>
          <w:rFonts w:hint="eastAsia" w:eastAsia="宋体"/>
          <w:color w:val="auto"/>
          <w:lang w:eastAsia="zh-CN"/>
        </w:rPr>
      </w:pPr>
      <w:r>
        <w:rPr>
          <w:rFonts w:hint="eastAsia" w:eastAsia="宋体" w:cs="Times New Roman"/>
          <w:b/>
          <w:bCs/>
          <w:color w:val="auto"/>
          <w:sz w:val="20"/>
          <w:szCs w:val="20"/>
          <w:highlight w:val="none"/>
          <w:lang w:val="en-US" w:eastAsia="zh-CN" w:bidi="ar-SA"/>
        </w:rPr>
        <w:t xml:space="preserve">Proposal 1: The ISI issue really exists between inter-RRH TCI state switching. To address this issue, introducing one symbol length scheduling restriction right after the end of </w:t>
      </w:r>
      <w:r>
        <w:rPr>
          <w:rFonts w:hint="eastAsia" w:eastAsia="宋体"/>
          <w:b/>
          <w:bCs/>
          <w:color w:val="auto"/>
          <w:sz w:val="20"/>
          <w:szCs w:val="20"/>
          <w:highlight w:val="none"/>
          <w:lang w:val="en-US" w:eastAsia="zh-CN"/>
        </w:rPr>
        <w:t>slot</w:t>
      </w:r>
      <w:r>
        <w:rPr>
          <w:b/>
          <w:bCs/>
          <w:lang w:val="en-US" w:eastAsia="zh-CN"/>
        </w:rPr>
        <w:t xml:space="preserve"> n+</w:t>
      </w:r>
      <w:r>
        <w:rPr>
          <w:rFonts w:eastAsia="Malgun Gothic"/>
          <w:b/>
          <w:bCs/>
          <w:lang w:eastAsia="zh-CN"/>
        </w:rPr>
        <w:t xml:space="preserve"> T</w:t>
      </w:r>
      <w:r>
        <w:rPr>
          <w:rFonts w:eastAsia="Malgun Gothic"/>
          <w:b/>
          <w:bCs/>
          <w:vertAlign w:val="subscript"/>
          <w:lang w:eastAsia="zh-CN"/>
        </w:rPr>
        <w:t>HARQ</w:t>
      </w:r>
      <w:r>
        <w:rPr>
          <w:rFonts w:eastAsia="Malgun Gothic"/>
          <w:b/>
          <w:bCs/>
          <w:lang w:eastAsia="zh-CN"/>
        </w:rPr>
        <w:t xml:space="preserve"> + </w:t>
      </w:r>
      <m:oMath>
        <m:sSubSup>
          <m:sSubSupPr>
            <m:ctrlPr>
              <w:rPr>
                <w:rFonts w:ascii="Cambria Math" w:hAnsi="Cambria Math"/>
                <w:b/>
                <w:bCs/>
              </w:rPr>
            </m:ctrlPr>
          </m:sSubSupPr>
          <m:e>
            <m:r>
              <m:rPr>
                <m:sty m:val="b"/>
              </m:rPr>
              <w:rPr>
                <w:rFonts w:ascii="Cambria Math" w:hAnsi="Cambria Math"/>
              </w:rPr>
              <m:t>3N</m:t>
            </m:r>
            <m:ctrlPr>
              <w:rPr>
                <w:rFonts w:ascii="Cambria Math" w:hAnsi="Cambria Math"/>
                <w:b/>
                <w:bCs/>
              </w:rPr>
            </m:ctrlPr>
          </m:e>
          <m:sub>
            <m:r>
              <m:rPr>
                <m:sty m:val="b"/>
              </m:rPr>
              <w:rPr>
                <w:rFonts w:ascii="Cambria Math" w:hAnsi="Cambria Math"/>
              </w:rPr>
              <m:t>slot</m:t>
            </m:r>
            <m:ctrlPr>
              <w:rPr>
                <w:rFonts w:ascii="Cambria Math" w:hAnsi="Cambria Math"/>
                <w:b/>
                <w:bCs/>
              </w:rPr>
            </m:ctrlPr>
          </m:sub>
          <m:sup>
            <m:r>
              <m:rPr>
                <m:sty m:val="b"/>
              </m:rPr>
              <w:rPr>
                <w:rFonts w:ascii="Cambria Math" w:hAnsi="Cambria Math"/>
              </w:rPr>
              <m:t>subframe,µ</m:t>
            </m:r>
            <m:ctrlPr>
              <w:rPr>
                <w:rFonts w:ascii="Cambria Math" w:hAnsi="Cambria Math"/>
                <w:b/>
                <w:bCs/>
              </w:rPr>
            </m:ctrlPr>
          </m:sup>
        </m:sSubSup>
      </m:oMath>
      <w:r>
        <w:rPr>
          <w:rFonts w:hint="eastAsia" w:eastAsia="宋体" w:cs="Times New Roman"/>
          <w:b/>
          <w:bCs/>
          <w:color w:val="auto"/>
          <w:sz w:val="20"/>
          <w:szCs w:val="20"/>
          <w:highlight w:val="none"/>
          <w:lang w:val="en-US" w:eastAsia="zh-CN" w:bidi="ar-SA"/>
        </w:rPr>
        <w:t xml:space="preserve"> is enough.</w:t>
      </w:r>
      <w:bookmarkStart w:id="2" w:name="_GoBack"/>
      <w:bookmarkEnd w:id="2"/>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Signalling characteristics for HST FR2</w:t>
      </w:r>
      <w:r>
        <w:rPr>
          <w:rFonts w:eastAsia="宋体"/>
          <w:bCs/>
          <w:color w:val="auto"/>
          <w:sz w:val="20"/>
          <w:szCs w:val="20"/>
          <w:lang w:val="en-GB" w:eastAsia="zh-CN"/>
        </w:rPr>
        <w:t>:</w:t>
      </w:r>
    </w:p>
    <w:p>
      <w:pPr>
        <w:pStyle w:val="4"/>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1: </w:t>
      </w:r>
      <w:r>
        <w:rPr>
          <w:rFonts w:hint="eastAsia" w:eastAsia="宋体" w:cs="Times New Roman"/>
          <w:b/>
          <w:bCs/>
          <w:color w:val="auto"/>
          <w:sz w:val="20"/>
          <w:szCs w:val="20"/>
          <w:highlight w:val="none"/>
          <w:lang w:val="en-US" w:eastAsia="zh-CN" w:bidi="ar-SA"/>
        </w:rPr>
        <w:t xml:space="preserve">The ISI issue really exists between inter-RRH TCI state switching. To address this issue, introducing one symbol length scheduling restriction right after the end of </w:t>
      </w:r>
      <w:r>
        <w:rPr>
          <w:rFonts w:hint="eastAsia" w:eastAsia="宋体"/>
          <w:b/>
          <w:bCs/>
          <w:color w:val="auto"/>
          <w:sz w:val="20"/>
          <w:szCs w:val="20"/>
          <w:highlight w:val="none"/>
          <w:lang w:val="en-US" w:eastAsia="zh-CN"/>
        </w:rPr>
        <w:t>slot</w:t>
      </w:r>
      <w:r>
        <w:rPr>
          <w:b/>
          <w:bCs/>
          <w:lang w:val="en-US" w:eastAsia="zh-CN"/>
        </w:rPr>
        <w:t xml:space="preserve"> n+</w:t>
      </w:r>
      <w:r>
        <w:rPr>
          <w:rFonts w:eastAsia="Malgun Gothic"/>
          <w:b/>
          <w:bCs/>
          <w:lang w:eastAsia="zh-CN"/>
        </w:rPr>
        <w:t xml:space="preserve"> T</w:t>
      </w:r>
      <w:r>
        <w:rPr>
          <w:rFonts w:eastAsia="Malgun Gothic"/>
          <w:b/>
          <w:bCs/>
          <w:vertAlign w:val="subscript"/>
          <w:lang w:eastAsia="zh-CN"/>
        </w:rPr>
        <w:t>HARQ</w:t>
      </w:r>
      <w:r>
        <w:rPr>
          <w:rFonts w:eastAsia="Malgun Gothic"/>
          <w:b/>
          <w:bCs/>
          <w:lang w:eastAsia="zh-CN"/>
        </w:rPr>
        <w:t xml:space="preserve"> + </w:t>
      </w:r>
      <m:oMath>
        <m:sSubSup>
          <m:sSubSupPr>
            <m:ctrlPr>
              <w:rPr>
                <w:rFonts w:ascii="Cambria Math" w:hAnsi="Cambria Math"/>
                <w:b/>
                <w:bCs/>
              </w:rPr>
            </m:ctrlPr>
          </m:sSubSupPr>
          <m:e>
            <m:r>
              <m:rPr>
                <m:sty m:val="b"/>
              </m:rPr>
              <w:rPr>
                <w:rFonts w:ascii="Cambria Math" w:hAnsi="Cambria Math"/>
              </w:rPr>
              <m:t>3N</m:t>
            </m:r>
            <m:ctrlPr>
              <w:rPr>
                <w:rFonts w:ascii="Cambria Math" w:hAnsi="Cambria Math"/>
                <w:b/>
                <w:bCs/>
              </w:rPr>
            </m:ctrlPr>
          </m:e>
          <m:sub>
            <m:r>
              <m:rPr>
                <m:sty m:val="b"/>
              </m:rPr>
              <w:rPr>
                <w:rFonts w:ascii="Cambria Math" w:hAnsi="Cambria Math"/>
              </w:rPr>
              <m:t>slot</m:t>
            </m:r>
            <m:ctrlPr>
              <w:rPr>
                <w:rFonts w:ascii="Cambria Math" w:hAnsi="Cambria Math"/>
                <w:b/>
                <w:bCs/>
              </w:rPr>
            </m:ctrlPr>
          </m:sub>
          <m:sup>
            <m:r>
              <m:rPr>
                <m:sty m:val="b"/>
              </m:rPr>
              <w:rPr>
                <w:rFonts w:ascii="Cambria Math" w:hAnsi="Cambria Math"/>
              </w:rPr>
              <m:t>subframe,µ</m:t>
            </m:r>
            <m:ctrlPr>
              <w:rPr>
                <w:rFonts w:ascii="Cambria Math" w:hAnsi="Cambria Math"/>
                <w:b/>
                <w:bCs/>
              </w:rPr>
            </m:ctrlPr>
          </m:sup>
        </m:sSubSup>
      </m:oMath>
      <w:r>
        <w:rPr>
          <w:rFonts w:hint="eastAsia" w:eastAsia="宋体" w:cs="Times New Roman"/>
          <w:b/>
          <w:bCs/>
          <w:color w:val="auto"/>
          <w:sz w:val="20"/>
          <w:szCs w:val="20"/>
          <w:highlight w:val="none"/>
          <w:lang w:val="en-US" w:eastAsia="zh-CN" w:bidi="ar-SA"/>
        </w:rPr>
        <w:t xml:space="preserve"> is enough.</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default" w:eastAsia="宋体"/>
          <w:color w:val="auto"/>
          <w:lang w:val="en-US" w:eastAsia="zh-CN"/>
        </w:rPr>
      </w:pPr>
      <w:r>
        <w:rPr>
          <w:rFonts w:hint="eastAsia"/>
          <w:color w:val="auto"/>
          <w:lang w:val="en-US" w:eastAsia="zh-CN"/>
        </w:rPr>
        <w:t>R4-2</w:t>
      </w:r>
      <w:r>
        <w:rPr>
          <w:rFonts w:hint="eastAsia"/>
          <w:color w:val="auto"/>
          <w:highlight w:val="none"/>
          <w:lang w:val="en-US" w:eastAsia="zh-CN"/>
        </w:rPr>
        <w:t>202594</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HST RRM (part 1)</w:t>
      </w:r>
      <w:r>
        <w:rPr>
          <w:rFonts w:hint="default"/>
          <w:color w:val="auto"/>
          <w:lang w:val="en-US" w:eastAsia="zh-CN"/>
        </w:rPr>
        <w:t>”</w:t>
      </w:r>
      <w:r>
        <w:rPr>
          <w:rFonts w:hint="eastAsia"/>
          <w:color w:val="auto"/>
          <w:lang w:val="en-US" w:eastAsia="zh-CN"/>
        </w:rPr>
        <w:t xml:space="preserve">, RAN4#101bis e-meeting, Samsung. </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[2] R4-2201770, </w:t>
      </w:r>
      <w:r>
        <w:rPr>
          <w:rFonts w:hint="default"/>
          <w:color w:val="auto"/>
          <w:lang w:val="en-US" w:eastAsia="zh-CN"/>
        </w:rPr>
        <w:t>“Remaining Issues on signaling characteristics requirements for FR2 HST”</w:t>
      </w:r>
      <w:r>
        <w:rPr>
          <w:rFonts w:hint="eastAsia"/>
          <w:color w:val="auto"/>
          <w:lang w:val="en-US" w:eastAsia="zh-CN"/>
        </w:rPr>
        <w:t>, RAN4#101bis, Samsung.</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1B0F317"/>
    <w:multiLevelType w:val="singleLevel"/>
    <w:tmpl w:val="91B0F317"/>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7A3CFF"/>
    <w:rsid w:val="05317828"/>
    <w:rsid w:val="05477E90"/>
    <w:rsid w:val="05BB5AB9"/>
    <w:rsid w:val="05C42923"/>
    <w:rsid w:val="06963BA6"/>
    <w:rsid w:val="07CD3CDD"/>
    <w:rsid w:val="0855671D"/>
    <w:rsid w:val="089009EB"/>
    <w:rsid w:val="09716BCA"/>
    <w:rsid w:val="09D64B23"/>
    <w:rsid w:val="09E644B8"/>
    <w:rsid w:val="0B12013A"/>
    <w:rsid w:val="0B3D3C2F"/>
    <w:rsid w:val="0BB0429A"/>
    <w:rsid w:val="0BFF5FC6"/>
    <w:rsid w:val="10997F43"/>
    <w:rsid w:val="10DE7BAE"/>
    <w:rsid w:val="120774A3"/>
    <w:rsid w:val="1481754F"/>
    <w:rsid w:val="148F5721"/>
    <w:rsid w:val="14AC57CD"/>
    <w:rsid w:val="164514BE"/>
    <w:rsid w:val="170F06AA"/>
    <w:rsid w:val="17225508"/>
    <w:rsid w:val="180A6E32"/>
    <w:rsid w:val="183F2CD2"/>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1014C39"/>
    <w:rsid w:val="21244EB1"/>
    <w:rsid w:val="213964D8"/>
    <w:rsid w:val="21F13629"/>
    <w:rsid w:val="24122135"/>
    <w:rsid w:val="24D4257E"/>
    <w:rsid w:val="2572202B"/>
    <w:rsid w:val="2605683C"/>
    <w:rsid w:val="26BB1419"/>
    <w:rsid w:val="27B748AA"/>
    <w:rsid w:val="27CB4CB9"/>
    <w:rsid w:val="281C2F58"/>
    <w:rsid w:val="29642C4B"/>
    <w:rsid w:val="2A34628C"/>
    <w:rsid w:val="2A724D05"/>
    <w:rsid w:val="2A7E505C"/>
    <w:rsid w:val="2BC05B2C"/>
    <w:rsid w:val="2BD617C5"/>
    <w:rsid w:val="2C112837"/>
    <w:rsid w:val="2E014790"/>
    <w:rsid w:val="2EE77680"/>
    <w:rsid w:val="2F2F0FC8"/>
    <w:rsid w:val="301C6BB6"/>
    <w:rsid w:val="319708F2"/>
    <w:rsid w:val="31B14C9E"/>
    <w:rsid w:val="33C522D7"/>
    <w:rsid w:val="34807672"/>
    <w:rsid w:val="35B06C6A"/>
    <w:rsid w:val="36941AA2"/>
    <w:rsid w:val="36D37423"/>
    <w:rsid w:val="379D23F9"/>
    <w:rsid w:val="3A185287"/>
    <w:rsid w:val="3A1F46B8"/>
    <w:rsid w:val="3A692CD0"/>
    <w:rsid w:val="3B270929"/>
    <w:rsid w:val="3B3D5571"/>
    <w:rsid w:val="3B673620"/>
    <w:rsid w:val="3B9A1F29"/>
    <w:rsid w:val="3CE4646B"/>
    <w:rsid w:val="3D5E7AA8"/>
    <w:rsid w:val="3D6F2596"/>
    <w:rsid w:val="405F175E"/>
    <w:rsid w:val="40C765F3"/>
    <w:rsid w:val="42F869D2"/>
    <w:rsid w:val="43553536"/>
    <w:rsid w:val="44972678"/>
    <w:rsid w:val="451632B9"/>
    <w:rsid w:val="45F60A50"/>
    <w:rsid w:val="46142D0C"/>
    <w:rsid w:val="46B036BF"/>
    <w:rsid w:val="47282363"/>
    <w:rsid w:val="49DC4EAC"/>
    <w:rsid w:val="49E55BC5"/>
    <w:rsid w:val="4C1C63D6"/>
    <w:rsid w:val="4C864A35"/>
    <w:rsid w:val="4E015C76"/>
    <w:rsid w:val="4E4A2325"/>
    <w:rsid w:val="501A6C55"/>
    <w:rsid w:val="51B14BED"/>
    <w:rsid w:val="52526454"/>
    <w:rsid w:val="525C1CEF"/>
    <w:rsid w:val="528B5767"/>
    <w:rsid w:val="52D33625"/>
    <w:rsid w:val="53A3105E"/>
    <w:rsid w:val="53C64B93"/>
    <w:rsid w:val="548A6C60"/>
    <w:rsid w:val="55B1164D"/>
    <w:rsid w:val="55B4735E"/>
    <w:rsid w:val="56371459"/>
    <w:rsid w:val="56484633"/>
    <w:rsid w:val="598C40A0"/>
    <w:rsid w:val="59DA647E"/>
    <w:rsid w:val="5A556E1A"/>
    <w:rsid w:val="5E494511"/>
    <w:rsid w:val="5EB44FC0"/>
    <w:rsid w:val="5FBA395F"/>
    <w:rsid w:val="635902CD"/>
    <w:rsid w:val="64706BBE"/>
    <w:rsid w:val="64F2095B"/>
    <w:rsid w:val="67A858DB"/>
    <w:rsid w:val="68C401C3"/>
    <w:rsid w:val="69A833BD"/>
    <w:rsid w:val="6D566F0F"/>
    <w:rsid w:val="6D836F72"/>
    <w:rsid w:val="6DDE3DAF"/>
    <w:rsid w:val="6E3241BE"/>
    <w:rsid w:val="6EB97A9D"/>
    <w:rsid w:val="6EF10A90"/>
    <w:rsid w:val="6FFF1868"/>
    <w:rsid w:val="715F4C2D"/>
    <w:rsid w:val="722F78FB"/>
    <w:rsid w:val="72BF60CA"/>
    <w:rsid w:val="733D0D32"/>
    <w:rsid w:val="73D411F1"/>
    <w:rsid w:val="753811DE"/>
    <w:rsid w:val="75BE67D4"/>
    <w:rsid w:val="75C2004C"/>
    <w:rsid w:val="75C759C1"/>
    <w:rsid w:val="762D64F3"/>
    <w:rsid w:val="775B4604"/>
    <w:rsid w:val="77C067C3"/>
    <w:rsid w:val="78911E31"/>
    <w:rsid w:val="7A9367CB"/>
    <w:rsid w:val="7AF22571"/>
    <w:rsid w:val="7B69224B"/>
    <w:rsid w:val="7BE80F25"/>
    <w:rsid w:val="7C1C35A7"/>
    <w:rsid w:val="7C45431D"/>
    <w:rsid w:val="7D3219D5"/>
    <w:rsid w:val="7DDD0501"/>
    <w:rsid w:val="7DE51372"/>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2022-02-14T12:58:38Z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